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5F4" w:rsidRPr="00BE65F4" w:rsidRDefault="00BE65F4" w:rsidP="00BE65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231F20"/>
          <w:sz w:val="24"/>
          <w:szCs w:val="24"/>
        </w:rPr>
      </w:pPr>
      <w:r w:rsidRPr="00BE65F4">
        <w:rPr>
          <w:rFonts w:ascii="Arial" w:hAnsi="Arial" w:cs="Arial"/>
          <w:color w:val="231F20"/>
          <w:sz w:val="24"/>
          <w:szCs w:val="24"/>
        </w:rPr>
        <w:t xml:space="preserve">In </w:t>
      </w:r>
      <w:r w:rsidRPr="00BE65F4">
        <w:rPr>
          <w:rFonts w:ascii="Arial" w:hAnsi="Arial" w:cs="Arial"/>
          <w:b/>
          <w:color w:val="231F20"/>
          <w:sz w:val="24"/>
          <w:szCs w:val="24"/>
        </w:rPr>
        <w:t>section 112</w:t>
      </w:r>
      <w:r w:rsidRPr="00BE65F4">
        <w:rPr>
          <w:rFonts w:ascii="Arial" w:hAnsi="Arial" w:cs="Arial"/>
          <w:color w:val="231F20"/>
          <w:sz w:val="24"/>
          <w:szCs w:val="24"/>
        </w:rPr>
        <w:t xml:space="preserve"> of the Income-tax Act, </w:t>
      </w:r>
      <w:r w:rsidRPr="00BE65F4">
        <w:rPr>
          <w:rFonts w:ascii="Arial" w:hAnsi="Arial" w:cs="Arial"/>
          <w:b/>
          <w:color w:val="231F20"/>
          <w:sz w:val="24"/>
          <w:szCs w:val="24"/>
        </w:rPr>
        <w:t>in sub-section (</w:t>
      </w:r>
      <w:r w:rsidRPr="00BE65F4">
        <w:rPr>
          <w:rFonts w:ascii="Arial" w:hAnsi="Arial" w:cs="Arial"/>
          <w:b/>
          <w:i/>
          <w:iCs/>
          <w:color w:val="231F20"/>
          <w:sz w:val="24"/>
          <w:szCs w:val="24"/>
        </w:rPr>
        <w:t>1</w:t>
      </w:r>
      <w:r w:rsidRPr="00BE65F4">
        <w:rPr>
          <w:rFonts w:ascii="Arial" w:hAnsi="Arial" w:cs="Arial"/>
          <w:b/>
          <w:color w:val="231F20"/>
          <w:sz w:val="24"/>
          <w:szCs w:val="24"/>
        </w:rPr>
        <w:t>)</w:t>
      </w:r>
      <w:r w:rsidRPr="00BE65F4">
        <w:rPr>
          <w:rFonts w:ascii="Arial" w:hAnsi="Arial" w:cs="Arial"/>
          <w:color w:val="231F20"/>
          <w:sz w:val="24"/>
          <w:szCs w:val="24"/>
        </w:rPr>
        <w:t xml:space="preserve">, with effect from the </w:t>
      </w:r>
      <w:r w:rsidRPr="00BE65F4">
        <w:rPr>
          <w:rFonts w:ascii="Arial" w:hAnsi="Arial" w:cs="Arial"/>
          <w:b/>
          <w:color w:val="231F20"/>
          <w:sz w:val="24"/>
          <w:szCs w:val="24"/>
        </w:rPr>
        <w:t>1st day of</w:t>
      </w:r>
      <w:r>
        <w:rPr>
          <w:rFonts w:ascii="Arial" w:hAnsi="Arial" w:cs="Arial"/>
          <w:b/>
          <w:color w:val="231F20"/>
          <w:sz w:val="24"/>
          <w:szCs w:val="24"/>
        </w:rPr>
        <w:t xml:space="preserve"> </w:t>
      </w:r>
      <w:r w:rsidRPr="00BE65F4">
        <w:rPr>
          <w:rFonts w:ascii="Arial" w:hAnsi="Arial" w:cs="Arial"/>
          <w:b/>
          <w:color w:val="231F20"/>
          <w:sz w:val="24"/>
          <w:szCs w:val="24"/>
        </w:rPr>
        <w:t>April, 2015</w:t>
      </w:r>
      <w:r w:rsidRPr="00BE65F4">
        <w:rPr>
          <w:rFonts w:ascii="Arial" w:hAnsi="Arial" w:cs="Arial"/>
          <w:color w:val="231F20"/>
          <w:sz w:val="24"/>
          <w:szCs w:val="24"/>
        </w:rPr>
        <w:t>,––</w:t>
      </w:r>
    </w:p>
    <w:p w:rsidR="00BE65F4" w:rsidRPr="00BE65F4" w:rsidRDefault="00BE65F4" w:rsidP="00BE65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24"/>
          <w:szCs w:val="24"/>
        </w:rPr>
      </w:pPr>
    </w:p>
    <w:p w:rsidR="00BE65F4" w:rsidRPr="00BE65F4" w:rsidRDefault="00BE65F4" w:rsidP="00BE65F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24"/>
          <w:szCs w:val="24"/>
        </w:rPr>
      </w:pPr>
      <w:r w:rsidRPr="00BE65F4">
        <w:rPr>
          <w:rFonts w:ascii="Arial" w:hAnsi="Arial" w:cs="Arial"/>
          <w:color w:val="231F20"/>
          <w:sz w:val="24"/>
          <w:szCs w:val="24"/>
        </w:rPr>
        <w:t>in the proviso, occurring after clause (</w:t>
      </w:r>
      <w:r w:rsidRPr="00BE65F4">
        <w:rPr>
          <w:rFonts w:ascii="Arial" w:hAnsi="Arial" w:cs="Arial"/>
          <w:i/>
          <w:iCs/>
          <w:color w:val="231F20"/>
          <w:sz w:val="24"/>
          <w:szCs w:val="24"/>
        </w:rPr>
        <w:t>d</w:t>
      </w:r>
      <w:r w:rsidRPr="00BE65F4">
        <w:rPr>
          <w:rFonts w:ascii="Arial" w:hAnsi="Arial" w:cs="Arial"/>
          <w:color w:val="231F20"/>
          <w:sz w:val="24"/>
          <w:szCs w:val="24"/>
        </w:rPr>
        <w:t xml:space="preserve">), for the words </w:t>
      </w:r>
      <w:r w:rsidRPr="00BE65F4">
        <w:rPr>
          <w:rFonts w:ascii="Arial" w:hAnsi="Arial" w:cs="Arial"/>
          <w:b/>
          <w:color w:val="231F20"/>
          <w:sz w:val="24"/>
          <w:szCs w:val="24"/>
        </w:rPr>
        <w:t>“being listed securities or unit”</w:t>
      </w:r>
      <w:r w:rsidRPr="00BE65F4">
        <w:rPr>
          <w:rFonts w:ascii="Arial" w:hAnsi="Arial" w:cs="Arial"/>
          <w:color w:val="231F20"/>
          <w:sz w:val="24"/>
          <w:szCs w:val="24"/>
        </w:rPr>
        <w:t xml:space="preserve">, the words and brackets </w:t>
      </w:r>
      <w:r w:rsidRPr="00BE65F4">
        <w:rPr>
          <w:rFonts w:ascii="Arial" w:hAnsi="Arial" w:cs="Arial"/>
          <w:b/>
          <w:color w:val="231F20"/>
          <w:sz w:val="24"/>
          <w:szCs w:val="24"/>
        </w:rPr>
        <w:t>“being listed securities (other than a unit)”</w:t>
      </w:r>
      <w:r w:rsidRPr="00BE65F4">
        <w:rPr>
          <w:rFonts w:ascii="Arial" w:hAnsi="Arial" w:cs="Arial"/>
          <w:color w:val="231F20"/>
          <w:sz w:val="24"/>
          <w:szCs w:val="24"/>
        </w:rPr>
        <w:t xml:space="preserve"> shall be </w:t>
      </w:r>
      <w:r w:rsidRPr="00BE65F4">
        <w:rPr>
          <w:rFonts w:ascii="Arial" w:hAnsi="Arial" w:cs="Arial"/>
          <w:b/>
          <w:color w:val="231F20"/>
          <w:sz w:val="24"/>
          <w:szCs w:val="24"/>
        </w:rPr>
        <w:t>substituted;</w:t>
      </w:r>
    </w:p>
    <w:p w:rsidR="00BE65F4" w:rsidRPr="00BE65F4" w:rsidRDefault="00BE65F4" w:rsidP="00BE65F4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gramStart"/>
      <w:r w:rsidRPr="00BE65F4">
        <w:rPr>
          <w:rFonts w:ascii="Arial" w:hAnsi="Arial" w:cs="Arial"/>
          <w:color w:val="231F20"/>
          <w:sz w:val="24"/>
          <w:szCs w:val="24"/>
        </w:rPr>
        <w:t>in</w:t>
      </w:r>
      <w:proofErr w:type="gramEnd"/>
      <w:r w:rsidRPr="00BE65F4">
        <w:rPr>
          <w:rFonts w:ascii="Arial" w:hAnsi="Arial" w:cs="Arial"/>
          <w:color w:val="231F20"/>
          <w:sz w:val="24"/>
          <w:szCs w:val="24"/>
        </w:rPr>
        <w:t xml:space="preserve"> the </w:t>
      </w:r>
      <w:r w:rsidRPr="00BE65F4">
        <w:rPr>
          <w:rFonts w:ascii="Arial" w:hAnsi="Arial" w:cs="Arial"/>
          <w:i/>
          <w:iCs/>
          <w:color w:val="231F20"/>
          <w:sz w:val="24"/>
          <w:szCs w:val="24"/>
        </w:rPr>
        <w:t>Explanation</w:t>
      </w:r>
      <w:r w:rsidRPr="00BE65F4">
        <w:rPr>
          <w:rFonts w:ascii="Arial" w:hAnsi="Arial" w:cs="Arial"/>
          <w:color w:val="231F20"/>
          <w:sz w:val="24"/>
          <w:szCs w:val="24"/>
        </w:rPr>
        <w:t xml:space="preserve">, </w:t>
      </w:r>
      <w:r w:rsidRPr="00BE65F4">
        <w:rPr>
          <w:rFonts w:ascii="Arial" w:hAnsi="Arial" w:cs="Arial"/>
          <w:b/>
          <w:color w:val="231F20"/>
          <w:sz w:val="24"/>
          <w:szCs w:val="24"/>
        </w:rPr>
        <w:t>clause (</w:t>
      </w:r>
      <w:r w:rsidRPr="00BE65F4">
        <w:rPr>
          <w:rFonts w:ascii="Arial" w:hAnsi="Arial" w:cs="Arial"/>
          <w:b/>
          <w:i/>
          <w:iCs/>
          <w:color w:val="231F20"/>
          <w:sz w:val="24"/>
          <w:szCs w:val="24"/>
        </w:rPr>
        <w:t>b</w:t>
      </w:r>
      <w:r w:rsidRPr="00BE65F4">
        <w:rPr>
          <w:rFonts w:ascii="Arial" w:hAnsi="Arial" w:cs="Arial"/>
          <w:b/>
          <w:color w:val="231F20"/>
          <w:sz w:val="24"/>
          <w:szCs w:val="24"/>
        </w:rPr>
        <w:t>) shall be omitted</w:t>
      </w:r>
      <w:r w:rsidRPr="00BE65F4">
        <w:rPr>
          <w:rFonts w:ascii="Arial" w:hAnsi="Arial" w:cs="Arial"/>
          <w:color w:val="231F20"/>
          <w:sz w:val="24"/>
          <w:szCs w:val="24"/>
        </w:rPr>
        <w:t>.</w:t>
      </w:r>
    </w:p>
    <w:p w:rsidR="007F7F38" w:rsidRDefault="007F7F38" w:rsidP="007F7F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24"/>
          <w:szCs w:val="24"/>
        </w:rPr>
      </w:pPr>
    </w:p>
    <w:p w:rsidR="007F7F38" w:rsidRDefault="007F7F38" w:rsidP="007F7F38">
      <w:pPr>
        <w:pStyle w:val="NormalWeb"/>
        <w:pBdr>
          <w:top w:val="single" w:sz="4" w:space="1" w:color="auto"/>
          <w:bottom w:val="single" w:sz="4" w:space="1" w:color="auto"/>
        </w:pBdr>
        <w:jc w:val="center"/>
      </w:pPr>
      <w:r>
        <w:rPr>
          <w:rStyle w:val="Strong"/>
        </w:rPr>
        <w:t>Tax on long-term capital gains on units</w:t>
      </w:r>
    </w:p>
    <w:p w:rsidR="007F7F38" w:rsidRPr="007F7F38" w:rsidRDefault="007F7F38" w:rsidP="007F7F38">
      <w:pPr>
        <w:pStyle w:val="NormalWeb"/>
        <w:jc w:val="both"/>
        <w:rPr>
          <w:rFonts w:ascii="Arial" w:hAnsi="Arial" w:cs="Arial"/>
        </w:rPr>
      </w:pPr>
      <w:r w:rsidRPr="007F7F38">
        <w:rPr>
          <w:rFonts w:ascii="Arial" w:hAnsi="Arial" w:cs="Arial"/>
        </w:rPr>
        <w:t xml:space="preserve">Under the existing provisions of section 112 of the Act, where tax payable on long-term capital gains arising on transfer of a capital asset, being listed securities or unit or zero coupon bond exceeds ten per cent. </w:t>
      </w:r>
      <w:proofErr w:type="gramStart"/>
      <w:r w:rsidRPr="007F7F38">
        <w:rPr>
          <w:rFonts w:ascii="Arial" w:hAnsi="Arial" w:cs="Arial"/>
        </w:rPr>
        <w:t>of</w:t>
      </w:r>
      <w:proofErr w:type="gramEnd"/>
      <w:r w:rsidRPr="007F7F38">
        <w:rPr>
          <w:rFonts w:ascii="Arial" w:hAnsi="Arial" w:cs="Arial"/>
        </w:rPr>
        <w:t xml:space="preserve"> the amount of capital gains before allowing for indexation adjustment, then such excess shall be ignored. As long-term capital gains is not chargeable to tax in the case of transfer of a unit of an equity oriented fund which is liable to securities transaction tax, the benefit under section 112 in respect of unit cover only the unit of a fund, other than an equity oriented fund.</w:t>
      </w:r>
    </w:p>
    <w:p w:rsidR="007F7F38" w:rsidRPr="007F7F38" w:rsidRDefault="007F7F38" w:rsidP="007F7F38">
      <w:pPr>
        <w:pStyle w:val="NormalWeb"/>
        <w:jc w:val="both"/>
        <w:rPr>
          <w:rFonts w:ascii="Arial" w:hAnsi="Arial" w:cs="Arial"/>
        </w:rPr>
      </w:pPr>
      <w:r w:rsidRPr="007F7F38">
        <w:rPr>
          <w:rFonts w:ascii="Arial" w:hAnsi="Arial" w:cs="Arial"/>
        </w:rPr>
        <w:t xml:space="preserve">     It is proposed to amend the provisions of section 112 so as to allow the concessional rate of tax of ten per cent. </w:t>
      </w:r>
      <w:proofErr w:type="gramStart"/>
      <w:r w:rsidRPr="007F7F38">
        <w:rPr>
          <w:rFonts w:ascii="Arial" w:hAnsi="Arial" w:cs="Arial"/>
        </w:rPr>
        <w:t>on</w:t>
      </w:r>
      <w:proofErr w:type="gramEnd"/>
      <w:r w:rsidRPr="007F7F38">
        <w:rPr>
          <w:rFonts w:ascii="Arial" w:hAnsi="Arial" w:cs="Arial"/>
        </w:rPr>
        <w:t xml:space="preserve"> long term capital gain to listed securities (other than unit) and zero coupon bonds.</w:t>
      </w:r>
    </w:p>
    <w:p w:rsidR="007F7F38" w:rsidRDefault="007F7F38" w:rsidP="007F7F38">
      <w:pPr>
        <w:pStyle w:val="NormalWeb"/>
        <w:jc w:val="both"/>
        <w:rPr>
          <w:rFonts w:ascii="Arial" w:hAnsi="Arial" w:cs="Arial"/>
        </w:rPr>
      </w:pPr>
      <w:r w:rsidRPr="007F7F38">
        <w:rPr>
          <w:rFonts w:ascii="Arial" w:hAnsi="Arial" w:cs="Arial"/>
        </w:rPr>
        <w:t>     This amendment will take effect from 1st April, 2015 and will accordingly apply, in relation to the assessment year 2015-16 and subsequent assessment years.</w:t>
      </w:r>
    </w:p>
    <w:p w:rsidR="007F7F38" w:rsidRPr="007F7F38" w:rsidRDefault="007F7F38" w:rsidP="007F7F38">
      <w:pPr>
        <w:pStyle w:val="NormalWeb"/>
        <w:pBdr>
          <w:bottom w:val="single" w:sz="4" w:space="1" w:color="auto"/>
        </w:pBdr>
        <w:jc w:val="both"/>
        <w:rPr>
          <w:rFonts w:ascii="Arial" w:hAnsi="Arial" w:cs="Arial"/>
        </w:rPr>
      </w:pPr>
    </w:p>
    <w:p w:rsidR="007F7F38" w:rsidRPr="007F7F38" w:rsidRDefault="007F7F38" w:rsidP="007F7F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24"/>
          <w:szCs w:val="24"/>
        </w:rPr>
      </w:pPr>
    </w:p>
    <w:sectPr w:rsidR="007F7F38" w:rsidRPr="007F7F38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5BF"/>
    <w:multiLevelType w:val="hybridMultilevel"/>
    <w:tmpl w:val="92AA3116"/>
    <w:lvl w:ilvl="0" w:tplc="F7E478D8">
      <w:start w:val="1"/>
      <w:numFmt w:val="lowerLetter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BE65F4"/>
    <w:rsid w:val="005015BD"/>
    <w:rsid w:val="00581EF4"/>
    <w:rsid w:val="007F7F38"/>
    <w:rsid w:val="009B6DEC"/>
    <w:rsid w:val="00BE65F4"/>
    <w:rsid w:val="00ED2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65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F7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F7F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HP</cp:lastModifiedBy>
  <cp:revision>3</cp:revision>
  <dcterms:created xsi:type="dcterms:W3CDTF">2014-07-16T08:21:00Z</dcterms:created>
  <dcterms:modified xsi:type="dcterms:W3CDTF">2014-07-17T07:28:00Z</dcterms:modified>
</cp:coreProperties>
</file>